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613" w:val="left" w:leader="none"/>
        </w:tabs>
        <w:spacing w:line="237" w:lineRule="exact" w:before="26"/>
        <w:ind w:left="6439" w:right="0" w:firstLine="0"/>
        <w:jc w:val="left"/>
        <w:rPr>
          <w:rFonts w:ascii="Times New Roman" w:eastAsia="Times New Roman"/>
          <w:sz w:val="24"/>
        </w:rPr>
      </w:pPr>
      <w:r>
        <w:rPr>
          <w:spacing w:val="-4"/>
          <w:sz w:val="24"/>
        </w:rPr>
        <w:t>申請日期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Title"/>
        <w:tabs>
          <w:tab w:pos="3364" w:val="left" w:leader="none"/>
        </w:tabs>
      </w:pPr>
      <w:r>
        <w:rPr>
          <w:spacing w:val="-6"/>
        </w:rPr>
        <w:t>財政部關務</w:t>
      </w:r>
      <w:r>
        <w:rPr>
          <w:spacing w:val="-10"/>
        </w:rPr>
        <w:t>署</w:t>
      </w:r>
      <w:r>
        <w:rPr/>
        <w:tab/>
      </w:r>
      <w:r>
        <w:rPr>
          <w:spacing w:val="-6"/>
        </w:rPr>
        <w:t>廠商具結</w:t>
      </w:r>
      <w:r>
        <w:rPr>
          <w:spacing w:val="-10"/>
        </w:rPr>
        <w:t>書</w:t>
      </w:r>
    </w:p>
    <w:p>
      <w:pPr>
        <w:pStyle w:val="BodyText"/>
        <w:spacing w:before="47"/>
        <w:ind w:left="28"/>
        <w:jc w:val="both"/>
      </w:pPr>
      <w:r>
        <w:rPr>
          <w:spacing w:val="23"/>
        </w:rPr>
        <w:t>茲具結下列打</w:t>
      </w:r>
      <w:r>
        <w:rPr>
          <w:rFonts w:ascii="Wingdings" w:hAnsi="Wingdings" w:eastAsia="Wingdings"/>
        </w:rPr>
        <w:t></w:t>
      </w:r>
      <w:r>
        <w:rPr>
          <w:spacing w:val="22"/>
        </w:rPr>
        <w:t>之事實</w:t>
      </w:r>
      <w:r>
        <w:rPr/>
        <w:t>（</w:t>
      </w:r>
      <w:r>
        <w:rPr>
          <w:spacing w:val="5"/>
        </w:rPr>
        <w:t> 出口報單第  ／  ／  ／</w:t>
      </w:r>
      <w:r>
        <w:rPr>
          <w:spacing w:val="24"/>
          <w:w w:val="150"/>
        </w:rPr>
        <w:t>    </w:t>
      </w:r>
      <w:r>
        <w:rPr>
          <w:spacing w:val="24"/>
        </w:rPr>
        <w:t>號</w:t>
      </w:r>
      <w:r>
        <w:rPr>
          <w:spacing w:val="-135"/>
        </w:rPr>
        <w:t>）</w:t>
      </w:r>
      <w:r>
        <w:rPr>
          <w:spacing w:val="-5"/>
        </w:rPr>
        <w:t>：</w:t>
      </w:r>
    </w:p>
    <w:p>
      <w:pPr>
        <w:pStyle w:val="BodyText"/>
        <w:spacing w:before="58"/>
        <w:ind w:left="28"/>
        <w:jc w:val="both"/>
      </w:pPr>
      <w:r>
        <w:rPr/>
        <w:t>（</w:t>
      </w:r>
      <w:r>
        <w:rPr>
          <w:spacing w:val="24"/>
        </w:rPr>
        <w:t>  </w:t>
      </w:r>
      <w:r>
        <w:rPr/>
        <w:t>）</w:t>
      </w:r>
      <w:r>
        <w:rPr>
          <w:spacing w:val="-1"/>
        </w:rPr>
        <w:t> 因下列原因， 請免核銷原進口報單：</w:t>
      </w:r>
    </w:p>
    <w:p>
      <w:pPr>
        <w:pStyle w:val="BodyText"/>
        <w:spacing w:line="223" w:lineRule="auto" w:before="76"/>
        <w:ind w:right="185" w:hanging="862"/>
        <w:jc w:val="both"/>
      </w:pPr>
      <w:r>
        <w:rPr/>
        <w:t>（</w:t>
      </w:r>
      <w:r>
        <w:rPr>
          <w:spacing w:val="-35"/>
        </w:rPr>
        <w:t> </w:t>
      </w:r>
      <w:r>
        <w:rPr/>
        <w:t>）</w:t>
      </w:r>
      <w:r>
        <w:rPr>
          <w:spacing w:val="13"/>
        </w:rPr>
        <w:t> 復運出口案件</w:t>
      </w:r>
      <w:r>
        <w:rPr>
          <w:spacing w:val="21"/>
        </w:rPr>
        <w:t>（</w:t>
      </w:r>
      <w:r>
        <w:rPr>
          <w:spacing w:val="22"/>
        </w:rPr>
        <w:t>含國貨、外貨</w:t>
      </w:r>
      <w:r>
        <w:rPr>
          <w:spacing w:val="-130"/>
        </w:rPr>
        <w:t>）</w:t>
      </w:r>
      <w:r>
        <w:rPr>
          <w:spacing w:val="17"/>
        </w:rPr>
        <w:t>， 不涉及申辦沖、退稅、退押</w:t>
      </w:r>
      <w:r>
        <w:rPr>
          <w:spacing w:val="13"/>
        </w:rPr>
        <w:t>或解除授信機構、政府有關機關及公營事業單位擔保等事項或</w:t>
      </w:r>
      <w:r>
        <w:rPr>
          <w:spacing w:val="19"/>
        </w:rPr>
        <w:t>非進口機器設備分期繳稅及免稅。</w:t>
      </w:r>
    </w:p>
    <w:p>
      <w:pPr>
        <w:pStyle w:val="BodyText"/>
        <w:spacing w:line="223" w:lineRule="auto" w:before="84"/>
        <w:ind w:right="185" w:hanging="1472"/>
        <w:jc w:val="both"/>
      </w:pPr>
      <w:r>
        <w:rPr/>
        <w:t>（</w:t>
      </w:r>
      <w:r>
        <w:rPr>
          <w:spacing w:val="-35"/>
        </w:rPr>
        <w:t> </w:t>
      </w:r>
      <w:r>
        <w:rPr/>
        <w:t>）</w:t>
      </w:r>
      <w:r>
        <w:rPr>
          <w:spacing w:val="11"/>
        </w:rPr>
        <w:t> 復運出口案件</w:t>
      </w:r>
      <w:r>
        <w:rPr/>
        <w:t>（</w:t>
      </w:r>
      <w:r>
        <w:rPr>
          <w:spacing w:val="11"/>
        </w:rPr>
        <w:t> 含國貨、外貨</w:t>
      </w:r>
      <w:r>
        <w:rPr>
          <w:spacing w:val="-128"/>
        </w:rPr>
        <w:t>）</w:t>
      </w:r>
      <w:r>
        <w:rPr>
          <w:spacing w:val="15"/>
        </w:rPr>
        <w:t>， 涉及申辦沖、退稅、退押或解除</w:t>
      </w:r>
      <w:r>
        <w:rPr>
          <w:spacing w:val="13"/>
        </w:rPr>
        <w:t>授信機構、政府有關機關及公營事業單位擔保等事項或非進口</w:t>
      </w:r>
      <w:r>
        <w:rPr>
          <w:spacing w:val="19"/>
        </w:rPr>
        <w:t>機器設備分期繳稅及免稅。進口報單號碼：</w:t>
      </w:r>
    </w:p>
    <w:p>
      <w:pPr>
        <w:pStyle w:val="BodyText"/>
        <w:spacing w:line="372" w:lineRule="exact"/>
      </w:pPr>
      <w:r>
        <w:rPr>
          <w:spacing w:val="16"/>
        </w:rPr>
        <w:t>押款號碼：</w:t>
      </w:r>
    </w:p>
    <w:p>
      <w:pPr>
        <w:pStyle w:val="BodyText"/>
        <w:spacing w:line="223" w:lineRule="auto" w:before="74"/>
        <w:ind w:right="185" w:hanging="934"/>
      </w:pPr>
      <w:r>
        <w:rPr/>
        <w:t>（</w:t>
      </w:r>
      <w:r>
        <w:rPr>
          <w:spacing w:val="80"/>
        </w:rPr>
        <w:t> </w:t>
      </w:r>
      <w:r>
        <w:rPr>
          <w:spacing w:val="-51"/>
        </w:rPr>
        <w:t>）</w:t>
      </w:r>
      <w:r>
        <w:rPr>
          <w:spacing w:val="20"/>
        </w:rPr>
        <w:t>係加工出口區外銷事業及科學園區園區事業自國外輸入之進口</w:t>
      </w:r>
      <w:r>
        <w:rPr>
          <w:spacing w:val="18"/>
        </w:rPr>
        <w:t>貨物復運出口者。</w:t>
      </w:r>
    </w:p>
    <w:p>
      <w:pPr>
        <w:pStyle w:val="BodyText"/>
        <w:spacing w:line="223" w:lineRule="auto" w:before="86"/>
        <w:ind w:right="185" w:hanging="910"/>
      </w:pPr>
      <w:r>
        <w:rPr/>
        <w:t>（</w:t>
      </w:r>
      <w:r>
        <w:rPr>
          <w:spacing w:val="80"/>
        </w:rPr>
        <w:t> </w:t>
      </w:r>
      <w:r>
        <w:rPr/>
        <w:t>）</w:t>
      </w:r>
      <w:r>
        <w:rPr>
          <w:spacing w:val="17"/>
        </w:rPr>
        <w:t>係依關稅法第５２條規定進口之貨物復運出口，其完稅價格在</w:t>
      </w:r>
      <w:r>
        <w:rPr>
          <w:spacing w:val="18"/>
        </w:rPr>
        <w:t>新台幣３千元以下者。</w:t>
      </w:r>
    </w:p>
    <w:p>
      <w:pPr>
        <w:pStyle w:val="BodyText"/>
        <w:spacing w:before="140"/>
        <w:ind w:left="0"/>
      </w:pPr>
    </w:p>
    <w:p>
      <w:pPr>
        <w:pStyle w:val="BodyText"/>
        <w:spacing w:line="223" w:lineRule="auto"/>
        <w:ind w:left="818" w:right="343" w:hanging="790"/>
      </w:pPr>
      <w:r>
        <w:rPr/>
        <w:t>（</w:t>
      </w:r>
      <w:r>
        <w:rPr>
          <w:spacing w:val="80"/>
          <w:w w:val="150"/>
        </w:rPr>
        <w:t> </w:t>
      </w:r>
      <w:r>
        <w:rPr/>
        <w:t>）</w:t>
      </w:r>
      <w:r>
        <w:rPr>
          <w:spacing w:val="-1"/>
        </w:rPr>
        <w:t> 因下列原因， 請免核銷原進口報單， 亦免申報原進口報單號碼。</w:t>
      </w:r>
      <w:r>
        <w:rPr>
          <w:spacing w:val="19"/>
        </w:rPr>
        <w:t>願繳納推廣貿易服務費。</w:t>
      </w:r>
    </w:p>
    <w:p>
      <w:pPr>
        <w:pStyle w:val="BodyText"/>
        <w:spacing w:line="223" w:lineRule="auto" w:before="83"/>
        <w:ind w:right="185" w:hanging="910"/>
      </w:pPr>
      <w:r>
        <w:rPr/>
        <w:t>（</w:t>
      </w:r>
      <w:r>
        <w:rPr>
          <w:spacing w:val="80"/>
        </w:rPr>
        <w:t> </w:t>
      </w:r>
      <w:r>
        <w:rPr/>
        <w:t>）</w:t>
      </w:r>
      <w:r>
        <w:rPr>
          <w:spacing w:val="18"/>
        </w:rPr>
        <w:t>自進口放行之翌日起已逾五年之外貨復運出口案件，貨物輸出</w:t>
      </w:r>
      <w:r>
        <w:rPr>
          <w:spacing w:val="19"/>
        </w:rPr>
        <w:t>人無法取得原進口報單資料者。</w:t>
      </w:r>
    </w:p>
    <w:p>
      <w:pPr>
        <w:pStyle w:val="BodyText"/>
        <w:spacing w:line="223" w:lineRule="auto" w:before="83"/>
        <w:ind w:right="110" w:hanging="939"/>
      </w:pPr>
      <w:r>
        <w:rPr/>
        <w:t>（</w:t>
      </w:r>
      <w:r>
        <w:rPr>
          <w:spacing w:val="80"/>
        </w:rPr>
        <w:t> </w:t>
      </w:r>
      <w:r>
        <w:rPr>
          <w:spacing w:val="-56"/>
        </w:rPr>
        <w:t>）</w:t>
      </w:r>
      <w:r>
        <w:rPr>
          <w:spacing w:val="14"/>
        </w:rPr>
        <w:t>出口廠商向國內廠商購買之外貨，無法取得原進口報單資料 ，</w:t>
      </w:r>
      <w:r>
        <w:rPr>
          <w:spacing w:val="20"/>
        </w:rPr>
        <w:t>經提供國內廠商出具之國內統一發票影本供海關備查者。</w:t>
      </w:r>
    </w:p>
    <w:p>
      <w:pPr>
        <w:pStyle w:val="BodyText"/>
        <w:spacing w:before="120"/>
        <w:ind w:left="0"/>
      </w:pPr>
    </w:p>
    <w:p>
      <w:pPr>
        <w:pStyle w:val="BodyText"/>
        <w:spacing w:line="276" w:lineRule="auto"/>
        <w:ind w:left="28" w:right="1406"/>
      </w:pPr>
      <w:r>
        <w:rPr>
          <w:spacing w:val="22"/>
        </w:rPr>
        <w:t>本具結書僅具打</w:t>
      </w:r>
      <w:r>
        <w:rPr>
          <w:spacing w:val="10"/>
        </w:rPr>
        <w:t>（V）</w:t>
      </w:r>
      <w:r>
        <w:rPr>
          <w:spacing w:val="2"/>
        </w:rPr>
        <w:t> 者， 對於上述所具結均屬實，如有不實情</w:t>
      </w:r>
      <w:r>
        <w:rPr>
          <w:spacing w:val="19"/>
        </w:rPr>
        <w:t>事自願放棄本公司權益並接受貴關處分。</w:t>
      </w:r>
    </w:p>
    <w:p>
      <w:pPr>
        <w:pStyle w:val="BodyText"/>
        <w:spacing w:before="52"/>
        <w:ind w:left="0"/>
      </w:pPr>
    </w:p>
    <w:p>
      <w:pPr>
        <w:pStyle w:val="BodyText"/>
        <w:ind w:left="1245"/>
      </w:pPr>
      <w:r>
        <w:rPr>
          <w:spacing w:val="7"/>
        </w:rPr>
        <w:t>此致</w:t>
      </w:r>
    </w:p>
    <w:p>
      <w:pPr>
        <w:pStyle w:val="BodyText"/>
        <w:spacing w:line="549" w:lineRule="auto" w:before="57"/>
        <w:ind w:left="28" w:right="7032"/>
      </w:pPr>
      <w:r>
        <w:rPr>
          <w:spacing w:val="18"/>
        </w:rPr>
        <w:t>財政部關務署出口組</w:t>
      </w:r>
      <w:r>
        <w:rPr>
          <w:spacing w:val="14"/>
        </w:rPr>
        <w:t>立具結書人：</w:t>
      </w:r>
    </w:p>
    <w:p>
      <w:pPr>
        <w:pStyle w:val="BodyText"/>
        <w:spacing w:before="54"/>
        <w:ind w:left="0"/>
      </w:pPr>
    </w:p>
    <w:p>
      <w:pPr>
        <w:pStyle w:val="BodyText"/>
        <w:ind w:left="28"/>
        <w:jc w:val="both"/>
      </w:pPr>
      <w:r>
        <w:rPr>
          <w:spacing w:val="14"/>
        </w:rPr>
        <w:t>中華民國</w:t>
      </w:r>
      <w:r>
        <w:rPr>
          <w:spacing w:val="33"/>
          <w:w w:val="150"/>
        </w:rPr>
        <w:t>     </w:t>
      </w:r>
      <w:r>
        <w:rPr/>
        <w:t>年</w:t>
      </w:r>
      <w:r>
        <w:rPr>
          <w:spacing w:val="20"/>
          <w:w w:val="150"/>
        </w:rPr>
        <w:t>    </w:t>
      </w:r>
      <w:r>
        <w:rPr/>
        <w:t>月</w:t>
      </w:r>
      <w:r>
        <w:rPr>
          <w:spacing w:val="20"/>
          <w:w w:val="150"/>
        </w:rPr>
        <w:t>    </w:t>
      </w:r>
      <w:r>
        <w:rPr>
          <w:spacing w:val="-10"/>
        </w:rPr>
        <w:t>日</w:t>
      </w:r>
    </w:p>
    <w:sectPr>
      <w:type w:val="continuous"/>
      <w:pgSz w:w="11900" w:h="16840"/>
      <w:pgMar w:top="1380" w:bottom="28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auto"/>
    <w:pitch w:val="variable"/>
  </w:font>
  <w:font w:name="MingLiU_HKSCS">
    <w:altName w:val="MingLiU_HKSCS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ngLiU_HKSCS" w:hAnsi="MingLiU_HKSCS" w:eastAsia="MingLiU_HKSCS" w:cs="MingLiU_HKSCS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499"/>
    </w:pPr>
    <w:rPr>
      <w:rFonts w:ascii="MingLiU_HKSCS" w:hAnsi="MingLiU_HKSCS" w:eastAsia="MingLiU_HKSCS" w:cs="MingLiU_HKSCS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72" w:lineRule="exact"/>
      <w:ind w:right="140"/>
      <w:jc w:val="center"/>
    </w:pPr>
    <w:rPr>
      <w:rFonts w:ascii="Malgun Gothic" w:hAnsi="Malgun Gothic" w:eastAsia="Malgun Gothic" w:cs="Malgun Gothic"/>
      <w:b/>
      <w:bCs/>
      <w:sz w:val="48"/>
      <w:szCs w:val="4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(2016?s????????)</dc:title>
  <dcterms:created xsi:type="dcterms:W3CDTF">2024-10-04T08:25:40Z</dcterms:created>
  <dcterms:modified xsi:type="dcterms:W3CDTF">2024-10-04T08:25:40Z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2024-10-04T00:00:00Z</vt:filetime>
  </property>
  <property fmtid="{D5CDD505-2E9C-101B-9397-08002B2CF9AE}" pid="5" name="Producer">
    <vt:lpwstr>GPL Ghostscript 9.04</vt:lpwstr>
  </property>
</Properties>
</file>